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9104"/>
      </w:tblGrid>
      <w:tr w:rsidR="00841A98" w:rsidRPr="00841A98" w:rsidTr="00841A98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841A98" w:rsidRPr="00841A9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41A98" w:rsidRPr="00841A98" w:rsidRDefault="00841A98" w:rsidP="00841A9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841A9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24 Ocak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41A98" w:rsidRPr="00841A98" w:rsidRDefault="00841A98" w:rsidP="00841A9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841A98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841A98" w:rsidRPr="00841A98" w:rsidRDefault="00841A98" w:rsidP="00841A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841A9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29246</w:t>
                  </w:r>
                  <w:proofErr w:type="gramEnd"/>
                </w:p>
              </w:tc>
            </w:tr>
            <w:tr w:rsidR="00841A98" w:rsidRPr="00841A9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841A98" w:rsidRPr="00841A98" w:rsidRDefault="00841A98" w:rsidP="00841A9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841A98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841A98" w:rsidRPr="00841A9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Ç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al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 ve Sosyal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venlik Bakanl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ile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Ç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evre ve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ehircilik Bakanl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841A98" w:rsidRPr="00841A98" w:rsidRDefault="00841A98" w:rsidP="00841A98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END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STR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YEL KAZALARLA 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LG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HAZIRLANACAK </w:t>
                  </w:r>
                </w:p>
                <w:p w:rsidR="00841A98" w:rsidRPr="00841A98" w:rsidRDefault="00841A98" w:rsidP="00841A98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VENL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RAPORU TEBL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841A98" w:rsidRPr="00841A98" w:rsidRDefault="00841A98" w:rsidP="00841A9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841A98" w:rsidRPr="00841A98" w:rsidRDefault="00841A98" w:rsidP="00841A98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; </w:t>
                  </w:r>
                  <w:proofErr w:type="gramStart"/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30/12/2013</w:t>
                  </w:r>
                  <w:proofErr w:type="gramEnd"/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28867 m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say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Gazete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proofErr w:type="spellEnd"/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B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End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striyel Kazalar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 ve Etkilerinin Azalt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 belirtilen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seviyeli kurulu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letmecilerinin, ayn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11 inci maddesi gere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haz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rlamalar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haz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rlatmalar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raporlar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belirlemektir.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End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striyel Kazalar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 ve Etkilerinin Azalt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5 inci maddesinde tan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seviyeli kurulu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hakk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uygulan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 Bu Tebli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End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striyel Kazalar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 ve Etkilerinin Azalt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11 inci ve 21 inci maddelerine dayan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 ve k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saltmalar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ge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en;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BK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P: B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kaza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nleme politikas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venlik raporu: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seviyeli kurulu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un, kurulu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evresinin, kurulu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 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faaliyetlerin ve proseslerin tan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End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striyel Kazalar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 ve Etkilerinin Azalt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eki Ek-3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belirtilen ilkeleri 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erecek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kurulu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 uygulanan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sistemi ile ilgili bilgilerin ve 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letmecinin taahh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tlerinin bulundu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belgeyi,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 format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Ek-1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belirtilen; bi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ve genel kurallar dikkate al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ve Ek-2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belirtilen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raporunda bulunmas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gerekli asgari bilginin, belirtilen ba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numaralara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s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ralanmas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 d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zenini,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GYS: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sistemini,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Kritik olay (KO): B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kazaya sebebiyet verme potansiyeli olan b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kayb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netmelik: </w:t>
                  </w:r>
                  <w:proofErr w:type="gramStart"/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30/12/2013</w:t>
                  </w:r>
                  <w:proofErr w:type="gramEnd"/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28867 m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say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Gazete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proofErr w:type="spellEnd"/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B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End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striyel Kazalar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 ve Etkilerinin Azalt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 eder.</w:t>
                  </w:r>
                </w:p>
                <w:p w:rsidR="00841A98" w:rsidRPr="00841A98" w:rsidRDefault="00841A98" w:rsidP="00841A9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841A98" w:rsidRPr="00841A98" w:rsidRDefault="00841A98" w:rsidP="00841A98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Genel Y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letmecinin g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venlik raporu ile ilgili y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kleri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seviyeli bir kurulu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letmecisi Ek-2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belirtilen bilgileri ve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 format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alarak bir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 haz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 veya haz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rlat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41A98" w:rsidRPr="00841A98" w:rsidRDefault="00841A98" w:rsidP="00841A98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ÜÇÜ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841A98" w:rsidRPr="00841A98" w:rsidRDefault="00841A98" w:rsidP="00841A98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venlik Raporunun 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ncelenmesi, Gizli B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mleri ve Raporda </w:t>
                  </w:r>
                </w:p>
                <w:p w:rsidR="00841A98" w:rsidRPr="00841A98" w:rsidRDefault="00841A98" w:rsidP="00841A98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Belirtilen Bilgilerin Dayanaklar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venlik raporunun incelenmesi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 (1)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raporlar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11 inci ve 12 </w:t>
                  </w:r>
                  <w:proofErr w:type="spellStart"/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maddelerinde belirtilen usul ve esaslara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incelenir.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G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venlik raporunun gizli b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mleri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Haz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raporlar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Ek-2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 birinci ve ikinci b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yer alan 1.1.6 (bildirim dahilindeki tehlikeli madde ve miktarlar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), </w:t>
                  </w:r>
                  <w:proofErr w:type="gramStart"/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1.2</w:t>
                  </w:r>
                  <w:proofErr w:type="gramEnd"/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(b) ve (c),  1.4.1 (c hari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1.4.2,  1.5 (a) ve 1.5.2, 1.5.16, 2.2.2, 2.2.3, 2.2.4, 2.2.6, 2.2.7 numaral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 ve bu maddelere ait alt ba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bilgiler, 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21 inci maddesi gere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 gizli olarak kabul edilir ve bu b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a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klanmaz.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venlik raporunda belirtilen bilgilerin niteli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raporunda kullan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veya belirtilen;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venilirlik verileri, olas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verileri, </w:t>
                  </w:r>
                  <w:proofErr w:type="spellStart"/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enstr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mantasyon</w:t>
                  </w:r>
                  <w:proofErr w:type="spellEnd"/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sertifikasyonlar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meteorolojik, hidrografik ve benzeri bilgiler ile referans bilgilerinin; hangi ulusal/uluslararas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kurum veya kurulu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ulusal/uluslararas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kabul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bilimsel veya standardize edilmi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kaynaklardan al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belirtilir.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venlik raporu ile birlikte g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nderilen risk de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erlendirmesi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seviyeli kurulu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letmecisi taraf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8 inci maddesi gere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haz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rlanan/haz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rlat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kantitatif risk de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belgeleri,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 ile birlikte ancak ayr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dok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man olarak harici bir bellek ile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Sosyal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Bakanl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 S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kantitatif risk de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belgeleri,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raporunun herhangi bir b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ekini te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 etmez.</w:t>
                  </w:r>
                </w:p>
                <w:p w:rsidR="00841A98" w:rsidRPr="00841A98" w:rsidRDefault="00841A98" w:rsidP="00841A98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841A98" w:rsidRPr="00841A98" w:rsidRDefault="00841A98" w:rsidP="00841A98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itli ve Son H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dari tedbirler ve uygulanma usulleri ile yapt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raporunun yetersiz bulunmas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23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f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h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uygulan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Yabanc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dildeki kaynaklar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Yabanc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dildeki kaynaklardaki bilgilerin kullan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raporunun ekinde, s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bilgilerin ilgili mevzuata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yeminli terc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 taraf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evirileri sunulur.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841A9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Tebli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mlerini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Sosyal G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Bakan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evre ve 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ehircilik Bakan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tereken y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841A9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5" w:history="1">
                    <w:r w:rsidRPr="00841A9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  <w:t>Ekler i</w:t>
                    </w:r>
                    <w:r w:rsidRPr="00841A9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  <w:t>ç</w:t>
                    </w:r>
                    <w:r w:rsidRPr="00841A9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  <w:t>in t</w:t>
                    </w:r>
                    <w:r w:rsidRPr="00841A9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  <w:t>ı</w:t>
                    </w:r>
                    <w:r w:rsidRPr="00841A9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  <w:t>klay</w:t>
                    </w:r>
                    <w:r w:rsidRPr="00841A9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  <w:t>ı</w:t>
                    </w:r>
                    <w:r w:rsidRPr="00841A9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  <w:t>n</w:t>
                    </w:r>
                    <w:r w:rsidRPr="00841A9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  <w:t>ı</w:t>
                    </w:r>
                    <w:r w:rsidRPr="00841A98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  <w:t>z</w:t>
                    </w:r>
                  </w:hyperlink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841A98" w:rsidRPr="00841A98" w:rsidRDefault="00841A98" w:rsidP="00841A98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841A98" w:rsidRPr="00841A98" w:rsidRDefault="00841A98" w:rsidP="00841A9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841A98" w:rsidRPr="00841A98" w:rsidRDefault="00841A98" w:rsidP="0084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41A98" w:rsidRPr="00841A98" w:rsidRDefault="00841A98" w:rsidP="00841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E7174" w:rsidRDefault="00841A98">
      <w:bookmarkStart w:id="0" w:name="_GoBack"/>
      <w:bookmarkEnd w:id="0"/>
    </w:p>
    <w:sectPr w:rsidR="001E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98"/>
    <w:rsid w:val="00000F2A"/>
    <w:rsid w:val="001D56CE"/>
    <w:rsid w:val="00220D4A"/>
    <w:rsid w:val="0065469A"/>
    <w:rsid w:val="00662B2F"/>
    <w:rsid w:val="006F1A48"/>
    <w:rsid w:val="0074746A"/>
    <w:rsid w:val="00841A98"/>
    <w:rsid w:val="00943CDF"/>
    <w:rsid w:val="00AF66A5"/>
    <w:rsid w:val="00B5150D"/>
    <w:rsid w:val="00B54D0F"/>
    <w:rsid w:val="00C60993"/>
    <w:rsid w:val="00D443F7"/>
    <w:rsid w:val="00D70A31"/>
    <w:rsid w:val="00F1031A"/>
    <w:rsid w:val="00F3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41A98"/>
    <w:rPr>
      <w:color w:val="0000FF"/>
      <w:u w:val="single"/>
    </w:rPr>
  </w:style>
  <w:style w:type="paragraph" w:styleId="NormalWeb">
    <w:name w:val="Normal (Web)"/>
    <w:basedOn w:val="Normal"/>
    <w:rsid w:val="0084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841A98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841A98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841A98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41A98"/>
    <w:rPr>
      <w:color w:val="0000FF"/>
      <w:u w:val="single"/>
    </w:rPr>
  </w:style>
  <w:style w:type="paragraph" w:styleId="NormalWeb">
    <w:name w:val="Normal (Web)"/>
    <w:basedOn w:val="Normal"/>
    <w:rsid w:val="0084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841A98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841A98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841A98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5/01/20150124-6-1.pdf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E19C5A-7F2D-458B-8E52-23A6B2585980}"/>
</file>

<file path=customXml/itemProps2.xml><?xml version="1.0" encoding="utf-8"?>
<ds:datastoreItem xmlns:ds="http://schemas.openxmlformats.org/officeDocument/2006/customXml" ds:itemID="{0044C483-DFA7-40F0-AF57-4FDBA3CF896E}"/>
</file>

<file path=customXml/itemProps3.xml><?xml version="1.0" encoding="utf-8"?>
<ds:datastoreItem xmlns:ds="http://schemas.openxmlformats.org/officeDocument/2006/customXml" ds:itemID="{5C24A517-60E1-4F4F-8ABE-AC78D8147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YAVUZYILMAZ</dc:creator>
  <cp:lastModifiedBy>Mustafa YAVUZYILMAZ</cp:lastModifiedBy>
  <cp:revision>1</cp:revision>
  <dcterms:created xsi:type="dcterms:W3CDTF">2015-01-26T07:45:00Z</dcterms:created>
  <dcterms:modified xsi:type="dcterms:W3CDTF">2015-01-26T07:46:00Z</dcterms:modified>
</cp:coreProperties>
</file>